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8482"/>
      </w:tblGrid>
      <w:tr w:rsidR="00F2033C" w:rsidRPr="0048195C" w14:paraId="061A906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2C4AEE1A" w14:textId="0CA936F6" w:rsidR="00F2033C" w:rsidRDefault="00F2033C"/>
        </w:tc>
        <w:tc>
          <w:tcPr>
            <w:tcW w:w="4400" w:type="dxa"/>
          </w:tcPr>
          <w:p w14:paraId="142C648F" w14:textId="57C3C6A9" w:rsidR="00F2033C" w:rsidRPr="0048195C" w:rsidRDefault="00F2033C">
            <w:pPr>
              <w:rPr>
                <w:lang w:val="ru-RU"/>
              </w:rPr>
            </w:pPr>
          </w:p>
        </w:tc>
      </w:tr>
    </w:tbl>
    <w:p w14:paraId="442279B6" w14:textId="77777777" w:rsidR="00F2033C" w:rsidRPr="0048195C" w:rsidRDefault="00F2033C">
      <w:pPr>
        <w:rPr>
          <w:lang w:val="ru-RU"/>
        </w:rPr>
      </w:pPr>
    </w:p>
    <w:p w14:paraId="79A42117" w14:textId="77777777" w:rsidR="00F2033C" w:rsidRPr="0048195C" w:rsidRDefault="00000000">
      <w:pPr>
        <w:spacing w:after="60"/>
        <w:jc w:val="center"/>
        <w:rPr>
          <w:lang w:val="ru-RU"/>
        </w:rPr>
      </w:pPr>
      <w:r w:rsidRPr="0048195C">
        <w:rPr>
          <w:caps/>
          <w:lang w:val="ru-RU"/>
        </w:rPr>
        <w:t>ПОСТАНОВЛЕНИЕ</w:t>
      </w:r>
      <w:r>
        <w:rPr>
          <w:caps/>
        </w:rPr>
        <w:t> </w:t>
      </w:r>
      <w:r w:rsidRPr="0048195C">
        <w:rPr>
          <w:caps/>
          <w:lang w:val="ru-RU"/>
        </w:rPr>
        <w:t>МИНИСТЕРСТВА ПО НАЛОГАМ И СБОРАМ РЕСПУБЛИКИ БЕЛАРУСЬ</w:t>
      </w:r>
    </w:p>
    <w:p w14:paraId="289677BA" w14:textId="77777777" w:rsidR="00F2033C" w:rsidRPr="0048195C" w:rsidRDefault="00000000">
      <w:pPr>
        <w:spacing w:after="60"/>
        <w:jc w:val="center"/>
        <w:rPr>
          <w:lang w:val="ru-RU"/>
        </w:rPr>
      </w:pPr>
      <w:r w:rsidRPr="0048195C">
        <w:rPr>
          <w:lang w:val="ru-RU"/>
        </w:rPr>
        <w:t>18 мая 2020 г. № 9</w:t>
      </w:r>
    </w:p>
    <w:p w14:paraId="2F7BE487" w14:textId="77777777" w:rsidR="00F2033C" w:rsidRPr="0048195C" w:rsidRDefault="00000000">
      <w:pPr>
        <w:spacing w:before="240" w:after="240"/>
        <w:rPr>
          <w:lang w:val="ru-RU"/>
        </w:rPr>
      </w:pPr>
      <w:r w:rsidRPr="0048195C">
        <w:rPr>
          <w:b/>
          <w:bCs/>
          <w:sz w:val="28"/>
          <w:szCs w:val="28"/>
          <w:lang w:val="ru-RU"/>
        </w:rPr>
        <w:t>Об отчетности в сфере игорного бизнеса</w:t>
      </w:r>
    </w:p>
    <w:p w14:paraId="3EFACD3C" w14:textId="77777777" w:rsidR="00F2033C" w:rsidRPr="0048195C" w:rsidRDefault="00000000">
      <w:pPr>
        <w:spacing w:after="60"/>
        <w:ind w:left="1021"/>
        <w:rPr>
          <w:lang w:val="ru-RU"/>
        </w:rPr>
      </w:pPr>
      <w:r w:rsidRPr="0048195C">
        <w:rPr>
          <w:lang w:val="ru-RU"/>
        </w:rPr>
        <w:t>Изменения и дополнения:</w:t>
      </w:r>
    </w:p>
    <w:p w14:paraId="36A0477F" w14:textId="77777777" w:rsidR="00F2033C" w:rsidRPr="0048195C" w:rsidRDefault="00000000">
      <w:pPr>
        <w:spacing w:after="60"/>
        <w:ind w:left="1133" w:firstLine="566"/>
        <w:jc w:val="both"/>
        <w:rPr>
          <w:lang w:val="ru-RU"/>
        </w:rPr>
      </w:pPr>
      <w:r w:rsidRPr="0048195C">
        <w:rPr>
          <w:lang w:val="ru-RU"/>
        </w:rPr>
        <w:t>Постановление Министерства по налогам и сборам Республики Беларусь от 16 декабря 2022</w:t>
      </w:r>
      <w:r>
        <w:t> </w:t>
      </w:r>
      <w:r w:rsidRPr="0048195C">
        <w:rPr>
          <w:lang w:val="ru-RU"/>
        </w:rPr>
        <w:t>г. №</w:t>
      </w:r>
      <w:r>
        <w:t> </w:t>
      </w:r>
      <w:r w:rsidRPr="0048195C">
        <w:rPr>
          <w:lang w:val="ru-RU"/>
        </w:rPr>
        <w:t>40 (зарегистрировано в Национальном реестре - №</w:t>
      </w:r>
      <w:r>
        <w:t> </w:t>
      </w:r>
      <w:r w:rsidRPr="0048195C">
        <w:rPr>
          <w:lang w:val="ru-RU"/>
        </w:rPr>
        <w:t>8/39187 от 22.12.2022 г.);</w:t>
      </w:r>
    </w:p>
    <w:p w14:paraId="3DE39EAA" w14:textId="77777777" w:rsidR="00F2033C" w:rsidRPr="0048195C" w:rsidRDefault="00000000">
      <w:pPr>
        <w:spacing w:after="60"/>
        <w:ind w:left="1133" w:firstLine="566"/>
        <w:jc w:val="both"/>
        <w:rPr>
          <w:lang w:val="ru-RU"/>
        </w:rPr>
      </w:pPr>
      <w:r w:rsidRPr="0048195C">
        <w:rPr>
          <w:lang w:val="ru-RU"/>
        </w:rPr>
        <w:t>Постановление Министерства по налогам и сборам Республики Беларусь от 6 февраля 2023</w:t>
      </w:r>
      <w:r>
        <w:t> </w:t>
      </w:r>
      <w:r w:rsidRPr="0048195C">
        <w:rPr>
          <w:lang w:val="ru-RU"/>
        </w:rPr>
        <w:t>г. №</w:t>
      </w:r>
      <w:r>
        <w:t> </w:t>
      </w:r>
      <w:r w:rsidRPr="0048195C">
        <w:rPr>
          <w:lang w:val="ru-RU"/>
        </w:rPr>
        <w:t>5 (зарегистрировано в Национальном реестре - №</w:t>
      </w:r>
      <w:r>
        <w:t> </w:t>
      </w:r>
      <w:r w:rsidRPr="0048195C">
        <w:rPr>
          <w:lang w:val="ru-RU"/>
        </w:rPr>
        <w:t>8/39523 от 14.02.2023 г.);</w:t>
      </w:r>
    </w:p>
    <w:p w14:paraId="604ABD31" w14:textId="77777777" w:rsidR="00F2033C" w:rsidRPr="0048195C" w:rsidRDefault="00000000">
      <w:pPr>
        <w:spacing w:after="60"/>
        <w:ind w:left="1133" w:firstLine="566"/>
        <w:jc w:val="both"/>
        <w:rPr>
          <w:lang w:val="ru-RU"/>
        </w:rPr>
      </w:pPr>
      <w:r w:rsidRPr="0048195C">
        <w:rPr>
          <w:lang w:val="ru-RU"/>
        </w:rPr>
        <w:t>Постановление Министерства по налогам и сборам Республики Беларусь от 23 октября 2025</w:t>
      </w:r>
      <w:r>
        <w:t> </w:t>
      </w:r>
      <w:r w:rsidRPr="0048195C">
        <w:rPr>
          <w:lang w:val="ru-RU"/>
        </w:rPr>
        <w:t>г. №</w:t>
      </w:r>
      <w:r>
        <w:t> </w:t>
      </w:r>
      <w:r w:rsidRPr="0048195C">
        <w:rPr>
          <w:lang w:val="ru-RU"/>
        </w:rPr>
        <w:t>56 (зарегистрировано в Национальном реестре - №</w:t>
      </w:r>
      <w:r>
        <w:t> </w:t>
      </w:r>
      <w:r w:rsidRPr="0048195C">
        <w:rPr>
          <w:lang w:val="ru-RU"/>
        </w:rPr>
        <w:t>11-2/44058 от 30.10.2025 г.)</w:t>
      </w:r>
    </w:p>
    <w:p w14:paraId="2E48EE0C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3EE115C1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 w:rsidRPr="0048195C">
        <w:rPr>
          <w:lang w:val="ru-RU"/>
        </w:rPr>
        <w:t>На основании части первой пункта</w:t>
      </w:r>
      <w:r>
        <w:t> </w:t>
      </w:r>
      <w:r w:rsidRPr="0048195C">
        <w:rPr>
          <w:lang w:val="ru-RU"/>
        </w:rPr>
        <w:t>34 Положения об</w:t>
      </w:r>
      <w:r>
        <w:t> </w:t>
      </w:r>
      <w:r w:rsidRPr="0048195C">
        <w:rPr>
          <w:lang w:val="ru-RU"/>
        </w:rPr>
        <w:t>осуществлении деятельности в</w:t>
      </w:r>
      <w:r>
        <w:t> </w:t>
      </w:r>
      <w:r w:rsidRPr="0048195C">
        <w:rPr>
          <w:lang w:val="ru-RU"/>
        </w:rPr>
        <w:t>сфере игорного бизнеса, утвержденного Указом Президента Республики Беларусь от</w:t>
      </w:r>
      <w:r>
        <w:t> </w:t>
      </w:r>
      <w:r w:rsidRPr="0048195C">
        <w:rPr>
          <w:lang w:val="ru-RU"/>
        </w:rPr>
        <w:t>6</w:t>
      </w:r>
      <w:r>
        <w:t> </w:t>
      </w:r>
      <w:r w:rsidRPr="0048195C">
        <w:rPr>
          <w:lang w:val="ru-RU"/>
        </w:rPr>
        <w:t>июня 2025</w:t>
      </w:r>
      <w:r>
        <w:t> </w:t>
      </w:r>
      <w:r w:rsidRPr="0048195C">
        <w:rPr>
          <w:lang w:val="ru-RU"/>
        </w:rPr>
        <w:t>г. №</w:t>
      </w:r>
      <w:r>
        <w:t> </w:t>
      </w:r>
      <w:r w:rsidRPr="0048195C">
        <w:rPr>
          <w:lang w:val="ru-RU"/>
        </w:rPr>
        <w:t>226, Министерство по</w:t>
      </w:r>
      <w:r>
        <w:t> </w:t>
      </w:r>
      <w:r w:rsidRPr="0048195C">
        <w:rPr>
          <w:lang w:val="ru-RU"/>
        </w:rPr>
        <w:t>налогам и</w:t>
      </w:r>
      <w:r>
        <w:t> </w:t>
      </w:r>
      <w:r w:rsidRPr="0048195C">
        <w:rPr>
          <w:lang w:val="ru-RU"/>
        </w:rPr>
        <w:t>сборам Республики Беларусь ПОСТАНОВЛЯЕТ:</w:t>
      </w:r>
    </w:p>
    <w:p w14:paraId="5C0C6D52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 w:rsidRPr="0048195C">
        <w:rPr>
          <w:lang w:val="ru-RU"/>
        </w:rPr>
        <w:t>1.</w:t>
      </w:r>
      <w:r>
        <w:t> </w:t>
      </w:r>
      <w:r w:rsidRPr="0048195C">
        <w:rPr>
          <w:lang w:val="ru-RU"/>
        </w:rPr>
        <w:t>Установить форму отчетности «Отчет об</w:t>
      </w:r>
      <w:r>
        <w:t> </w:t>
      </w:r>
      <w:r w:rsidRPr="0048195C">
        <w:rPr>
          <w:lang w:val="ru-RU"/>
        </w:rPr>
        <w:t>итогах работы в</w:t>
      </w:r>
      <w:r>
        <w:t> </w:t>
      </w:r>
      <w:r w:rsidRPr="0048195C">
        <w:rPr>
          <w:lang w:val="ru-RU"/>
        </w:rPr>
        <w:t>сфере игорного бизнеса» согласно приложению.</w:t>
      </w:r>
    </w:p>
    <w:p w14:paraId="63CAC551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 w:rsidRPr="0048195C">
        <w:rPr>
          <w:lang w:val="ru-RU"/>
        </w:rPr>
        <w:t>2.</w:t>
      </w:r>
      <w:r>
        <w:t> </w:t>
      </w:r>
      <w:r w:rsidRPr="0048195C">
        <w:rPr>
          <w:lang w:val="ru-RU"/>
        </w:rPr>
        <w:t>Настоящее постановление вступает в</w:t>
      </w:r>
      <w:r>
        <w:t> </w:t>
      </w:r>
      <w:r w:rsidRPr="0048195C">
        <w:rPr>
          <w:lang w:val="ru-RU"/>
        </w:rPr>
        <w:t>силу после его официального опубликования.</w:t>
      </w:r>
    </w:p>
    <w:p w14:paraId="7500AF28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2033C" w14:paraId="28418BD1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14:paraId="364C7F9A" w14:textId="77777777" w:rsidR="00F2033C" w:rsidRDefault="00000000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Министр</w:t>
            </w:r>
            <w:proofErr w:type="spellEnd"/>
          </w:p>
        </w:tc>
        <w:tc>
          <w:tcPr>
            <w:tcW w:w="2500" w:type="pct"/>
            <w:vMerge w:val="restart"/>
            <w:vAlign w:val="bottom"/>
          </w:tcPr>
          <w:p w14:paraId="2FC80A58" w14:textId="77777777" w:rsidR="00F2033C" w:rsidRDefault="00000000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С.Э.Наливайко</w:t>
            </w:r>
            <w:proofErr w:type="spellEnd"/>
          </w:p>
        </w:tc>
      </w:tr>
    </w:tbl>
    <w:p w14:paraId="759D8D17" w14:textId="77777777" w:rsidR="00F2033C" w:rsidRDefault="00000000">
      <w:pPr>
        <w:spacing w:after="60"/>
        <w:jc w:val="both"/>
      </w:pPr>
      <w:r>
        <w:t> </w:t>
      </w:r>
    </w:p>
    <w:p w14:paraId="383AA617" w14:textId="77777777" w:rsidR="00F2033C" w:rsidRDefault="00F2033C"/>
    <w:p w14:paraId="3D028836" w14:textId="77777777" w:rsidR="00F2033C" w:rsidRDefault="00000000">
      <w:pPr>
        <w:spacing w:after="60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F2033C" w:rsidRPr="0048195C" w14:paraId="53F466F5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14:paraId="253060E0" w14:textId="77777777" w:rsidR="00F2033C" w:rsidRDefault="00000000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14:paraId="4C01425F" w14:textId="77777777" w:rsidR="00F2033C" w:rsidRPr="0048195C" w:rsidRDefault="00000000">
            <w:pPr>
              <w:spacing w:after="28"/>
              <w:rPr>
                <w:lang w:val="ru-RU"/>
              </w:rPr>
            </w:pPr>
            <w:r w:rsidRPr="0048195C">
              <w:rPr>
                <w:sz w:val="22"/>
                <w:szCs w:val="22"/>
                <w:lang w:val="ru-RU"/>
              </w:rPr>
              <w:t>Приложение</w:t>
            </w:r>
          </w:p>
          <w:p w14:paraId="675C1DE9" w14:textId="77777777" w:rsidR="00F2033C" w:rsidRPr="0048195C" w:rsidRDefault="00000000">
            <w:pPr>
              <w:spacing w:after="60"/>
              <w:rPr>
                <w:lang w:val="ru-RU"/>
              </w:rPr>
            </w:pPr>
            <w:r w:rsidRPr="0048195C">
              <w:rPr>
                <w:sz w:val="22"/>
                <w:szCs w:val="22"/>
                <w:lang w:val="ru-RU"/>
              </w:rPr>
              <w:t>к постановлению</w:t>
            </w:r>
            <w:r w:rsidRPr="0048195C">
              <w:rPr>
                <w:lang w:val="ru-RU"/>
              </w:rPr>
              <w:br/>
            </w:r>
            <w:r w:rsidRPr="0048195C">
              <w:rPr>
                <w:sz w:val="22"/>
                <w:szCs w:val="22"/>
                <w:lang w:val="ru-RU"/>
              </w:rPr>
              <w:t>Министерства по налогам и</w:t>
            </w:r>
            <w:r>
              <w:rPr>
                <w:sz w:val="22"/>
                <w:szCs w:val="22"/>
              </w:rPr>
              <w:t> </w:t>
            </w:r>
            <w:r w:rsidRPr="0048195C">
              <w:rPr>
                <w:sz w:val="22"/>
                <w:szCs w:val="22"/>
                <w:lang w:val="ru-RU"/>
              </w:rPr>
              <w:t>сборам</w:t>
            </w:r>
            <w:r w:rsidRPr="0048195C">
              <w:rPr>
                <w:lang w:val="ru-RU"/>
              </w:rPr>
              <w:br/>
            </w:r>
            <w:r w:rsidRPr="0048195C">
              <w:rPr>
                <w:sz w:val="22"/>
                <w:szCs w:val="22"/>
                <w:lang w:val="ru-RU"/>
              </w:rPr>
              <w:t>Республики Беларусь</w:t>
            </w:r>
            <w:r w:rsidRPr="0048195C">
              <w:rPr>
                <w:lang w:val="ru-RU"/>
              </w:rPr>
              <w:br/>
            </w:r>
            <w:r w:rsidRPr="0048195C">
              <w:rPr>
                <w:sz w:val="22"/>
                <w:szCs w:val="22"/>
                <w:lang w:val="ru-RU"/>
              </w:rPr>
              <w:t>18.05.2020 №</w:t>
            </w:r>
            <w:r>
              <w:rPr>
                <w:sz w:val="22"/>
                <w:szCs w:val="22"/>
              </w:rPr>
              <w:t> </w:t>
            </w:r>
            <w:r w:rsidRPr="0048195C">
              <w:rPr>
                <w:sz w:val="22"/>
                <w:szCs w:val="22"/>
                <w:lang w:val="ru-RU"/>
              </w:rPr>
              <w:t>9</w:t>
            </w:r>
          </w:p>
        </w:tc>
      </w:tr>
    </w:tbl>
    <w:p w14:paraId="621EB3BF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4EE2920F" w14:textId="77777777" w:rsidR="00F2033C" w:rsidRPr="0048195C" w:rsidRDefault="00000000">
      <w:pPr>
        <w:spacing w:before="240" w:after="0"/>
        <w:jc w:val="right"/>
        <w:rPr>
          <w:lang w:val="ru-RU"/>
        </w:rPr>
      </w:pPr>
      <w:r w:rsidRPr="0048195C">
        <w:rPr>
          <w:sz w:val="22"/>
          <w:szCs w:val="22"/>
          <w:lang w:val="ru-RU"/>
        </w:rPr>
        <w:t>Форма</w:t>
      </w:r>
    </w:p>
    <w:p w14:paraId="650A23F6" w14:textId="77777777" w:rsidR="00F2033C" w:rsidRPr="0048195C" w:rsidRDefault="00000000">
      <w:pPr>
        <w:spacing w:before="240" w:after="0"/>
        <w:jc w:val="center"/>
        <w:rPr>
          <w:lang w:val="ru-RU"/>
        </w:rPr>
      </w:pPr>
      <w:r w:rsidRPr="0048195C">
        <w:rPr>
          <w:b/>
          <w:bCs/>
          <w:lang w:val="ru-RU"/>
        </w:rPr>
        <w:t>Отчет об</w:t>
      </w:r>
      <w:r>
        <w:rPr>
          <w:b/>
          <w:bCs/>
        </w:rPr>
        <w:t> </w:t>
      </w:r>
      <w:r w:rsidRPr="0048195C">
        <w:rPr>
          <w:b/>
          <w:bCs/>
          <w:lang w:val="ru-RU"/>
        </w:rPr>
        <w:t>итогах работы в</w:t>
      </w:r>
      <w:r>
        <w:rPr>
          <w:b/>
          <w:bCs/>
        </w:rPr>
        <w:t> </w:t>
      </w:r>
      <w:r w:rsidRPr="0048195C">
        <w:rPr>
          <w:b/>
          <w:bCs/>
          <w:lang w:val="ru-RU"/>
        </w:rPr>
        <w:t>сфере игорного бизнеса</w:t>
      </w:r>
      <w:r w:rsidRPr="0048195C">
        <w:rPr>
          <w:b/>
          <w:bCs/>
          <w:vertAlign w:val="superscript"/>
          <w:lang w:val="ru-RU"/>
        </w:rPr>
        <w:t>1</w:t>
      </w:r>
    </w:p>
    <w:p w14:paraId="51127E64" w14:textId="77777777" w:rsidR="00F2033C" w:rsidRDefault="00000000">
      <w:pPr>
        <w:spacing w:after="60"/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>
        <w:t>январь</w:t>
      </w:r>
      <w:proofErr w:type="spellEnd"/>
      <w:r>
        <w:t>–________ 20__ г.</w:t>
      </w:r>
    </w:p>
    <w:p w14:paraId="4D879CFE" w14:textId="77777777" w:rsidR="00F2033C" w:rsidRDefault="00000000">
      <w:pPr>
        <w:spacing w:after="0"/>
        <w:ind w:left="7937"/>
      </w:pPr>
      <w:r>
        <w:rPr>
          <w:sz w:val="20"/>
          <w:szCs w:val="20"/>
        </w:rPr>
        <w:lastRenderedPageBreak/>
        <w:t>(</w:t>
      </w:r>
      <w:proofErr w:type="spellStart"/>
      <w:r>
        <w:rPr>
          <w:sz w:val="20"/>
          <w:szCs w:val="20"/>
        </w:rPr>
        <w:t>месяц</w:t>
      </w:r>
      <w:proofErr w:type="spellEnd"/>
      <w:r>
        <w:rPr>
          <w:sz w:val="20"/>
          <w:szCs w:val="20"/>
        </w:rPr>
        <w:t>)</w:t>
      </w:r>
    </w:p>
    <w:p w14:paraId="669E8DDE" w14:textId="77777777" w:rsidR="00F2033C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"/>
        <w:gridCol w:w="1772"/>
        <w:gridCol w:w="1533"/>
        <w:gridCol w:w="998"/>
        <w:gridCol w:w="1231"/>
        <w:gridCol w:w="1231"/>
        <w:gridCol w:w="1455"/>
        <w:gridCol w:w="683"/>
        <w:gridCol w:w="1282"/>
        <w:gridCol w:w="980"/>
        <w:gridCol w:w="748"/>
        <w:gridCol w:w="1398"/>
        <w:gridCol w:w="820"/>
        <w:gridCol w:w="820"/>
      </w:tblGrid>
      <w:tr w:rsidR="00F2033C" w14:paraId="4B63D1F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6BB5766E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4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D52AC" w14:textId="77777777" w:rsidR="00F2033C" w:rsidRDefault="0000000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Составляющие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лицензируемую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деятельность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>
              <w:rPr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51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95BEF" w14:textId="77777777" w:rsidR="00F2033C" w:rsidRPr="0048195C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195C">
              <w:rPr>
                <w:sz w:val="20"/>
                <w:szCs w:val="20"/>
                <w:lang w:val="ru-RU"/>
              </w:rPr>
              <w:t>Количество объектов налогообложения налогом на</w:t>
            </w:r>
            <w:r>
              <w:rPr>
                <w:sz w:val="20"/>
                <w:szCs w:val="20"/>
              </w:rPr>
              <w:t> </w:t>
            </w:r>
            <w:r w:rsidRPr="0048195C">
              <w:rPr>
                <w:sz w:val="20"/>
                <w:szCs w:val="20"/>
                <w:lang w:val="ru-RU"/>
              </w:rPr>
              <w:t>игорный бизнес (игровые автоматы, кассы букмекерских контор, кассы тотализатора, игровые столы) в</w:t>
            </w:r>
            <w:r>
              <w:rPr>
                <w:sz w:val="20"/>
                <w:szCs w:val="20"/>
              </w:rPr>
              <w:t> </w:t>
            </w:r>
            <w:r w:rsidRPr="0048195C">
              <w:rPr>
                <w:sz w:val="20"/>
                <w:szCs w:val="20"/>
                <w:lang w:val="ru-RU"/>
              </w:rPr>
              <w:t>среднем за</w:t>
            </w:r>
            <w:r>
              <w:rPr>
                <w:sz w:val="20"/>
                <w:szCs w:val="20"/>
              </w:rPr>
              <w:t> </w:t>
            </w:r>
            <w:r w:rsidRPr="0048195C">
              <w:rPr>
                <w:sz w:val="20"/>
                <w:szCs w:val="20"/>
                <w:lang w:val="ru-RU"/>
              </w:rPr>
              <w:t>отчетный период</w:t>
            </w:r>
            <w:r w:rsidRPr="0048195C">
              <w:rPr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739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8DCA7" w14:textId="77777777" w:rsidR="00F2033C" w:rsidRDefault="0000000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Выручка</w:t>
            </w:r>
            <w:proofErr w:type="spellEnd"/>
          </w:p>
        </w:tc>
        <w:tc>
          <w:tcPr>
            <w:tcW w:w="40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5E40A" w14:textId="77777777" w:rsidR="00F2033C" w:rsidRPr="0048195C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195C">
              <w:rPr>
                <w:sz w:val="20"/>
                <w:szCs w:val="20"/>
                <w:lang w:val="ru-RU"/>
              </w:rPr>
              <w:t>Налоги и</w:t>
            </w:r>
            <w:r>
              <w:rPr>
                <w:sz w:val="20"/>
                <w:szCs w:val="20"/>
              </w:rPr>
              <w:t> </w:t>
            </w:r>
            <w:r w:rsidRPr="0048195C">
              <w:rPr>
                <w:sz w:val="20"/>
                <w:szCs w:val="20"/>
                <w:lang w:val="ru-RU"/>
              </w:rPr>
              <w:t>сборы, исчисляемые из</w:t>
            </w:r>
            <w:r>
              <w:rPr>
                <w:sz w:val="20"/>
                <w:szCs w:val="20"/>
              </w:rPr>
              <w:t> </w:t>
            </w:r>
            <w:r w:rsidRPr="0048195C">
              <w:rPr>
                <w:sz w:val="20"/>
                <w:szCs w:val="20"/>
                <w:lang w:val="ru-RU"/>
              </w:rPr>
              <w:t>выручки от</w:t>
            </w:r>
            <w:r>
              <w:rPr>
                <w:sz w:val="20"/>
                <w:szCs w:val="20"/>
              </w:rPr>
              <w:t> </w:t>
            </w:r>
            <w:r w:rsidRPr="0048195C">
              <w:rPr>
                <w:sz w:val="20"/>
                <w:szCs w:val="20"/>
                <w:lang w:val="ru-RU"/>
              </w:rPr>
              <w:t>реализации продукции, товаров, работ, услуг, рублей</w:t>
            </w:r>
            <w:r w:rsidRPr="0048195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48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A004A" w14:textId="77777777" w:rsidR="00F2033C" w:rsidRPr="0048195C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195C">
              <w:rPr>
                <w:sz w:val="20"/>
                <w:szCs w:val="20"/>
                <w:lang w:val="ru-RU"/>
              </w:rPr>
              <w:t xml:space="preserve">Сумма выплаченных (перечисленных, переведенных) выигрышей (возвращенных </w:t>
            </w:r>
            <w:proofErr w:type="spellStart"/>
            <w:r w:rsidRPr="0048195C">
              <w:rPr>
                <w:sz w:val="20"/>
                <w:szCs w:val="20"/>
                <w:lang w:val="ru-RU"/>
              </w:rPr>
              <w:t>несыгравших</w:t>
            </w:r>
            <w:proofErr w:type="spellEnd"/>
            <w:r w:rsidRPr="0048195C">
              <w:rPr>
                <w:sz w:val="20"/>
                <w:szCs w:val="20"/>
                <w:lang w:val="ru-RU"/>
              </w:rPr>
              <w:t xml:space="preserve"> ставок), рублей</w:t>
            </w:r>
            <w:r w:rsidRPr="0048195C">
              <w:rPr>
                <w:sz w:val="20"/>
                <w:szCs w:val="20"/>
                <w:vertAlign w:val="superscript"/>
                <w:lang w:val="ru-RU"/>
              </w:rPr>
              <w:t>6</w:t>
            </w:r>
          </w:p>
        </w:tc>
        <w:tc>
          <w:tcPr>
            <w:tcW w:w="973" w:type="pct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9FA9D" w14:textId="77777777" w:rsidR="00F2033C" w:rsidRDefault="0000000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Расходы</w:t>
            </w:r>
            <w:proofErr w:type="spellEnd"/>
          </w:p>
        </w:tc>
        <w:tc>
          <w:tcPr>
            <w:tcW w:w="711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029CF" w14:textId="77777777" w:rsidR="00F2033C" w:rsidRDefault="0000000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Прибыль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убыток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38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0350BCB3" w14:textId="77777777" w:rsidR="00F2033C" w:rsidRDefault="0000000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Среднесписочная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численность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работников</w:t>
            </w:r>
            <w:proofErr w:type="spellEnd"/>
          </w:p>
        </w:tc>
      </w:tr>
      <w:tr w:rsidR="00F2033C" w:rsidRPr="0048195C" w14:paraId="5C86C203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B5171" w14:textId="77777777" w:rsidR="00F2033C" w:rsidRDefault="00F2033C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042ED" w14:textId="77777777" w:rsidR="00F2033C" w:rsidRDefault="00F2033C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466FF" w14:textId="77777777" w:rsidR="00F2033C" w:rsidRDefault="00F2033C"/>
        </w:tc>
        <w:tc>
          <w:tcPr>
            <w:tcW w:w="3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029DE" w14:textId="77777777" w:rsidR="00F2033C" w:rsidRPr="0048195C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195C">
              <w:rPr>
                <w:sz w:val="20"/>
                <w:szCs w:val="20"/>
                <w:lang w:val="ru-RU"/>
              </w:rPr>
              <w:t>от реализации продукции, товаров, работ, услуг, рублей</w:t>
            </w:r>
            <w:r w:rsidRPr="0048195C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2EC56" w14:textId="77777777" w:rsidR="00F2033C" w:rsidRPr="0048195C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195C">
              <w:rPr>
                <w:sz w:val="20"/>
                <w:szCs w:val="20"/>
                <w:lang w:val="ru-RU"/>
              </w:rPr>
              <w:t>в том числе от</w:t>
            </w:r>
            <w:r>
              <w:rPr>
                <w:sz w:val="20"/>
                <w:szCs w:val="20"/>
              </w:rPr>
              <w:t> </w:t>
            </w:r>
            <w:r w:rsidRPr="0048195C">
              <w:rPr>
                <w:sz w:val="20"/>
                <w:szCs w:val="20"/>
                <w:lang w:val="ru-RU"/>
              </w:rPr>
              <w:t>реализации услуг в</w:t>
            </w:r>
            <w:r>
              <w:rPr>
                <w:sz w:val="20"/>
                <w:szCs w:val="20"/>
              </w:rPr>
              <w:t> </w:t>
            </w:r>
            <w:r w:rsidRPr="0048195C">
              <w:rPr>
                <w:sz w:val="20"/>
                <w:szCs w:val="20"/>
                <w:lang w:val="ru-RU"/>
              </w:rPr>
              <w:t>сфере игорного бизнеса, рублей</w:t>
            </w:r>
            <w:r w:rsidRPr="0048195C">
              <w:rPr>
                <w:sz w:val="20"/>
                <w:szCs w:val="20"/>
                <w:vertAlign w:val="superscript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16C0B" w14:textId="77777777" w:rsidR="00F2033C" w:rsidRPr="0048195C" w:rsidRDefault="00F2033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AC2CF" w14:textId="77777777" w:rsidR="00F2033C" w:rsidRPr="0048195C" w:rsidRDefault="00F2033C">
            <w:pPr>
              <w:rPr>
                <w:lang w:val="ru-RU"/>
              </w:rPr>
            </w:pPr>
          </w:p>
        </w:tc>
        <w:tc>
          <w:tcPr>
            <w:tcW w:w="2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02663" w14:textId="77777777" w:rsidR="00F2033C" w:rsidRDefault="0000000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 рублей</w:t>
            </w:r>
            <w:r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750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D7DBA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числе</w:t>
            </w:r>
            <w:proofErr w:type="spellEnd"/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D39A3" w14:textId="77777777" w:rsidR="00F2033C" w:rsidRDefault="0000000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 рублей</w:t>
            </w:r>
            <w:r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8FFCD" w14:textId="77777777" w:rsidR="00F2033C" w:rsidRPr="0048195C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195C">
              <w:rPr>
                <w:sz w:val="20"/>
                <w:szCs w:val="20"/>
                <w:lang w:val="ru-RU"/>
              </w:rPr>
              <w:t>в том числе прибыль (убыток) от</w:t>
            </w:r>
            <w:r>
              <w:rPr>
                <w:sz w:val="20"/>
                <w:szCs w:val="20"/>
              </w:rPr>
              <w:t> </w:t>
            </w:r>
            <w:r w:rsidRPr="0048195C">
              <w:rPr>
                <w:sz w:val="20"/>
                <w:szCs w:val="20"/>
                <w:lang w:val="ru-RU"/>
              </w:rPr>
              <w:t>деятельности в</w:t>
            </w:r>
            <w:r>
              <w:rPr>
                <w:sz w:val="20"/>
                <w:szCs w:val="20"/>
              </w:rPr>
              <w:t> </w:t>
            </w:r>
            <w:r w:rsidRPr="0048195C">
              <w:rPr>
                <w:sz w:val="20"/>
                <w:szCs w:val="20"/>
                <w:lang w:val="ru-RU"/>
              </w:rPr>
              <w:t>сфере игорного бизнеса, рублей</w:t>
            </w:r>
            <w:r w:rsidRPr="0048195C">
              <w:rPr>
                <w:sz w:val="20"/>
                <w:szCs w:val="20"/>
                <w:vertAlign w:val="superscript"/>
                <w:lang w:val="ru-RU"/>
              </w:rPr>
              <w:t>11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A304A" w14:textId="77777777" w:rsidR="00F2033C" w:rsidRDefault="00000000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>, человек</w:t>
            </w:r>
            <w:r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83B7866" w14:textId="77777777" w:rsidR="00F2033C" w:rsidRPr="0048195C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195C">
              <w:rPr>
                <w:sz w:val="20"/>
                <w:szCs w:val="20"/>
                <w:lang w:val="ru-RU"/>
              </w:rPr>
              <w:t>в том числе занятых в</w:t>
            </w:r>
            <w:r>
              <w:rPr>
                <w:sz w:val="20"/>
                <w:szCs w:val="20"/>
              </w:rPr>
              <w:t> </w:t>
            </w:r>
            <w:r w:rsidRPr="0048195C">
              <w:rPr>
                <w:sz w:val="20"/>
                <w:szCs w:val="20"/>
                <w:lang w:val="ru-RU"/>
              </w:rPr>
              <w:t>сфере игорного бизнеса, человек</w:t>
            </w:r>
            <w:r w:rsidRPr="0048195C">
              <w:rPr>
                <w:sz w:val="20"/>
                <w:szCs w:val="20"/>
                <w:vertAlign w:val="superscript"/>
                <w:lang w:val="ru-RU"/>
              </w:rPr>
              <w:t>12</w:t>
            </w:r>
          </w:p>
        </w:tc>
      </w:tr>
      <w:tr w:rsidR="00F2033C" w:rsidRPr="0048195C" w14:paraId="17BA0B71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DC894" w14:textId="77777777" w:rsidR="00F2033C" w:rsidRPr="0048195C" w:rsidRDefault="00F2033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4A74A" w14:textId="77777777" w:rsidR="00F2033C" w:rsidRPr="0048195C" w:rsidRDefault="00F2033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E28D55" w14:textId="77777777" w:rsidR="00F2033C" w:rsidRPr="0048195C" w:rsidRDefault="00F2033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4F2B6" w14:textId="77777777" w:rsidR="00F2033C" w:rsidRPr="0048195C" w:rsidRDefault="00F2033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FFB20" w14:textId="77777777" w:rsidR="00F2033C" w:rsidRPr="0048195C" w:rsidRDefault="00F2033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1A748" w14:textId="77777777" w:rsidR="00F2033C" w:rsidRPr="0048195C" w:rsidRDefault="00F2033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B58E2" w14:textId="77777777" w:rsidR="00F2033C" w:rsidRPr="0048195C" w:rsidRDefault="00F2033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DE43E" w14:textId="77777777" w:rsidR="00F2033C" w:rsidRPr="0048195C" w:rsidRDefault="00F2033C">
            <w:pPr>
              <w:rPr>
                <w:lang w:val="ru-RU"/>
              </w:rPr>
            </w:pP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9E807" w14:textId="77777777" w:rsidR="00F2033C" w:rsidRPr="0048195C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195C">
              <w:rPr>
                <w:sz w:val="20"/>
                <w:szCs w:val="20"/>
                <w:lang w:val="ru-RU"/>
              </w:rPr>
              <w:t>приходящиеся на</w:t>
            </w:r>
            <w:r>
              <w:rPr>
                <w:sz w:val="20"/>
                <w:szCs w:val="20"/>
              </w:rPr>
              <w:t> </w:t>
            </w:r>
            <w:r w:rsidRPr="0048195C">
              <w:rPr>
                <w:sz w:val="20"/>
                <w:szCs w:val="20"/>
                <w:lang w:val="ru-RU"/>
              </w:rPr>
              <w:t>реализацию услуг в</w:t>
            </w:r>
            <w:r>
              <w:rPr>
                <w:sz w:val="20"/>
                <w:szCs w:val="20"/>
              </w:rPr>
              <w:t> </w:t>
            </w:r>
            <w:r w:rsidRPr="0048195C">
              <w:rPr>
                <w:sz w:val="20"/>
                <w:szCs w:val="20"/>
                <w:lang w:val="ru-RU"/>
              </w:rPr>
              <w:t>сфере игорного бизнеса, рублей</w:t>
            </w:r>
            <w:r w:rsidRPr="0048195C">
              <w:rPr>
                <w:sz w:val="20"/>
                <w:szCs w:val="20"/>
                <w:vertAlign w:val="superscript"/>
                <w:lang w:val="ru-RU"/>
              </w:rPr>
              <w:t>8</w:t>
            </w:r>
          </w:p>
        </w:tc>
        <w:tc>
          <w:tcPr>
            <w:tcW w:w="32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735A7" w14:textId="77777777" w:rsidR="00F2033C" w:rsidRPr="0048195C" w:rsidRDefault="00000000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48195C">
              <w:rPr>
                <w:sz w:val="20"/>
                <w:szCs w:val="20"/>
                <w:lang w:val="ru-RU"/>
              </w:rPr>
              <w:t>фонд заработной платы занятых в</w:t>
            </w:r>
            <w:r>
              <w:rPr>
                <w:sz w:val="20"/>
                <w:szCs w:val="20"/>
              </w:rPr>
              <w:t> </w:t>
            </w:r>
            <w:r w:rsidRPr="0048195C">
              <w:rPr>
                <w:sz w:val="20"/>
                <w:szCs w:val="20"/>
                <w:lang w:val="ru-RU"/>
              </w:rPr>
              <w:t>сфере игорного бизнеса, рублей</w:t>
            </w:r>
            <w:r w:rsidRPr="0048195C">
              <w:rPr>
                <w:sz w:val="20"/>
                <w:szCs w:val="20"/>
                <w:vertAlign w:val="superscript"/>
                <w:lang w:val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7D620ABA" w14:textId="77777777" w:rsidR="00F2033C" w:rsidRPr="0048195C" w:rsidRDefault="00F2033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5427137" w14:textId="77777777" w:rsidR="00F2033C" w:rsidRPr="0048195C" w:rsidRDefault="00F2033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0FE1755" w14:textId="77777777" w:rsidR="00F2033C" w:rsidRPr="0048195C" w:rsidRDefault="00F2033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3ED1F53D" w14:textId="77777777" w:rsidR="00F2033C" w:rsidRPr="0048195C" w:rsidRDefault="00F2033C">
            <w:pPr>
              <w:rPr>
                <w:lang w:val="ru-RU"/>
              </w:rPr>
            </w:pPr>
          </w:p>
        </w:tc>
      </w:tr>
      <w:tr w:rsidR="00F2033C" w14:paraId="3DEF1115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59F34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96DBA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33842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224F5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06A8D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468C1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3AF08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EB241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9341D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127D5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1F46A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A5EC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2AAB9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64AC380C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</w:tr>
      <w:tr w:rsidR="00F2033C" w14:paraId="551622C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F1B9D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065E" w14:textId="77777777" w:rsidR="00F2033C" w:rsidRDefault="0000000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Содержание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казино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7FDB1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C5C53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E9AA5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F722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AFD3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0DF8E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D0363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7944E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135AD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4F04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3E4F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9B3782C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F2033C" w14:paraId="3A5B072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0EA42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7C822" w14:textId="77777777" w:rsidR="00F2033C" w:rsidRDefault="0000000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игровые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столы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5983D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E5ED7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0931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614A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B167E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ACBF9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FCE05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F895B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5457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7E00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9F337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7343ED3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F2033C" w14:paraId="6A33867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F6A71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35F1F" w14:textId="77777777" w:rsidR="00F2033C" w:rsidRDefault="0000000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игровые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автоматы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4FB95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45C5E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868CC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95478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A4AE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8221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0793D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7EB6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FC5BC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190EB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1561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101B96D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F2033C" w14:paraId="4BC3BFE3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9F3B8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7C30B" w14:textId="77777777" w:rsidR="00F2033C" w:rsidRDefault="0000000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кассы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букмекерских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контор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257BC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C9FDE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DAF97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5E03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765D7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AA401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264F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9720B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8B69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160D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E36A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D4B22B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F2033C" w14:paraId="6C6C6424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53E02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5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8A4B2" w14:textId="77777777" w:rsidR="00F2033C" w:rsidRDefault="0000000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кассы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тотализатора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335EE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8A947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2DD04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59C3A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7124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C50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88F70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384E7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E666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B3C65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8CF0C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E3BEFD4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F2033C" w14:paraId="51396F1F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AA7E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7EEE7" w14:textId="77777777" w:rsidR="00F2033C" w:rsidRDefault="0000000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Содержание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игровых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автоматов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517A4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8D502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06CE5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E4563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8C9A5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CA152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5B39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75171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C2E9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56A0B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2117E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F60563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F2033C" w14:paraId="582FBB5E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8CF08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B266C" w14:textId="77777777" w:rsidR="00F2033C" w:rsidRDefault="0000000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Содержание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букмекерской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конторы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DBFC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2CDCB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DCDCB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CD7E9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E673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CBDB1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60923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7BC0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D4E4A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1490B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C14D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997BD0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F2033C" w14:paraId="4E6E511A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3F910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6B493" w14:textId="77777777" w:rsidR="00F2033C" w:rsidRDefault="0000000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Содержание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тотализатора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A5C79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A452E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CCA88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28E8E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3E4E8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173EB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8DDD4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2F797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13312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123DD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9A575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AD60FC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F2033C" w14:paraId="2AB867FB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A3D11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5A138" w14:textId="77777777" w:rsidR="00F2033C" w:rsidRDefault="0000000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Содержание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виртуального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игорного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заведения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6DEDA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00E2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D1BBC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DBC1D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65C95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94D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E198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76807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EAFA8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9513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4D9F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E1A86F7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</w:tr>
      <w:tr w:rsidR="00F2033C" w14:paraId="0CFAAD71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7F79CF23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0C7270" w14:textId="77777777" w:rsidR="00F2033C" w:rsidRDefault="00000000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Всего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> </w:t>
            </w:r>
            <w:proofErr w:type="spellStart"/>
            <w:r>
              <w:rPr>
                <w:sz w:val="20"/>
                <w:szCs w:val="20"/>
              </w:rPr>
              <w:t>юридическому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лицу</w:t>
            </w:r>
            <w:proofErr w:type="spellEnd"/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8F354A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FC226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C1F242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77CA6F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9DD2D9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AEB676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9A885D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6E13CE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FA8C45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E40E84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0DBF35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9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56D4B9D" w14:textId="77777777" w:rsidR="00F2033C" w:rsidRDefault="00000000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07DC6EA5" w14:textId="77777777" w:rsidR="00F2033C" w:rsidRDefault="00000000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0"/>
        <w:gridCol w:w="2660"/>
        <w:gridCol w:w="5060"/>
      </w:tblGrid>
      <w:tr w:rsidR="00F2033C" w14:paraId="2957C572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33" w:type="pct"/>
            <w:vMerge w:val="restart"/>
          </w:tcPr>
          <w:p w14:paraId="2E8D51F6" w14:textId="77777777" w:rsidR="00F2033C" w:rsidRPr="0048195C" w:rsidRDefault="00000000">
            <w:pPr>
              <w:spacing w:after="60"/>
              <w:rPr>
                <w:lang w:val="ru-RU"/>
              </w:rPr>
            </w:pPr>
            <w:r w:rsidRPr="0048195C">
              <w:rPr>
                <w:lang w:val="ru-RU"/>
              </w:rPr>
              <w:t>Руководитель юридического лица</w:t>
            </w:r>
            <w:r w:rsidRPr="0048195C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303" w:type="pct"/>
            <w:vMerge w:val="restart"/>
            <w:vAlign w:val="bottom"/>
          </w:tcPr>
          <w:p w14:paraId="7E8E0FAC" w14:textId="77777777" w:rsidR="00F2033C" w:rsidRDefault="00000000">
            <w:pPr>
              <w:spacing w:after="60"/>
              <w:jc w:val="both"/>
            </w:pPr>
            <w:r>
              <w:t>____________________</w:t>
            </w:r>
          </w:p>
        </w:tc>
        <w:tc>
          <w:tcPr>
            <w:tcW w:w="1764" w:type="pct"/>
            <w:vMerge w:val="restart"/>
            <w:vAlign w:val="bottom"/>
          </w:tcPr>
          <w:p w14:paraId="2AFC3A5D" w14:textId="77777777" w:rsidR="00F2033C" w:rsidRDefault="00000000">
            <w:pPr>
              <w:spacing w:after="60"/>
              <w:jc w:val="right"/>
            </w:pPr>
            <w:r>
              <w:t>__________________________________________</w:t>
            </w:r>
          </w:p>
        </w:tc>
      </w:tr>
      <w:tr w:rsidR="00F2033C" w14:paraId="5472F719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33" w:type="pct"/>
            <w:vMerge w:val="restart"/>
          </w:tcPr>
          <w:p w14:paraId="273E8114" w14:textId="77777777" w:rsidR="00F2033C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03" w:type="pct"/>
            <w:vMerge w:val="restart"/>
          </w:tcPr>
          <w:p w14:paraId="23EAADDD" w14:textId="77777777" w:rsidR="00F2033C" w:rsidRDefault="00000000">
            <w:pPr>
              <w:spacing w:after="0"/>
              <w:ind w:left="673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64" w:type="pct"/>
            <w:vMerge w:val="restart"/>
          </w:tcPr>
          <w:p w14:paraId="7D1CC9B4" w14:textId="77777777" w:rsidR="00F2033C" w:rsidRDefault="00000000">
            <w:pPr>
              <w:spacing w:after="0"/>
              <w:ind w:right="1743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2033C" w14:paraId="221D8019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33" w:type="pct"/>
            <w:vMerge w:val="restart"/>
          </w:tcPr>
          <w:p w14:paraId="597E6BE6" w14:textId="77777777" w:rsidR="00F2033C" w:rsidRDefault="00000000">
            <w:pPr>
              <w:spacing w:after="60"/>
              <w:jc w:val="both"/>
            </w:pPr>
            <w:r>
              <w:t>______________________________________________</w:t>
            </w:r>
          </w:p>
        </w:tc>
        <w:tc>
          <w:tcPr>
            <w:tcW w:w="1303" w:type="pct"/>
            <w:vMerge w:val="restart"/>
          </w:tcPr>
          <w:p w14:paraId="61FE2D05" w14:textId="77777777" w:rsidR="00F2033C" w:rsidRDefault="00000000">
            <w:pPr>
              <w:spacing w:after="60"/>
              <w:jc w:val="both"/>
            </w:pPr>
            <w:r>
              <w:t>__ ______________________ 20__ г.</w:t>
            </w:r>
          </w:p>
        </w:tc>
        <w:tc>
          <w:tcPr>
            <w:tcW w:w="1764" w:type="pct"/>
            <w:vMerge w:val="restart"/>
          </w:tcPr>
          <w:p w14:paraId="6F120A2E" w14:textId="77777777" w:rsidR="00F2033C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F2033C" w14:paraId="42CB0B3C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33" w:type="pct"/>
            <w:vMerge w:val="restart"/>
          </w:tcPr>
          <w:p w14:paraId="60C7FC72" w14:textId="77777777" w:rsidR="00F2033C" w:rsidRDefault="00000000">
            <w:pPr>
              <w:spacing w:after="0"/>
              <w:ind w:left="1411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контактного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телефона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03" w:type="pct"/>
            <w:vMerge w:val="restart"/>
          </w:tcPr>
          <w:p w14:paraId="732C988C" w14:textId="77777777" w:rsidR="00F2033C" w:rsidRDefault="00000000">
            <w:pPr>
              <w:spacing w:after="0"/>
              <w:ind w:left="673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составления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отчета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64" w:type="pct"/>
            <w:vMerge w:val="restart"/>
          </w:tcPr>
          <w:p w14:paraId="10E52BB9" w14:textId="77777777" w:rsidR="00F2033C" w:rsidRDefault="00000000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027ACB07" w14:textId="77777777" w:rsidR="00F2033C" w:rsidRDefault="00000000">
      <w:pPr>
        <w:spacing w:after="60"/>
        <w:ind w:firstLine="566"/>
        <w:jc w:val="both"/>
      </w:pPr>
      <w:r>
        <w:t> </w:t>
      </w:r>
    </w:p>
    <w:p w14:paraId="3BCB70EF" w14:textId="77777777" w:rsidR="00F2033C" w:rsidRDefault="00000000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06B84CCF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 w:rsidRPr="0048195C">
        <w:rPr>
          <w:sz w:val="20"/>
          <w:szCs w:val="20"/>
          <w:vertAlign w:val="superscript"/>
          <w:lang w:val="ru-RU"/>
        </w:rPr>
        <w:t>1</w:t>
      </w:r>
      <w:r w:rsidRPr="0048195C">
        <w:rPr>
          <w:sz w:val="20"/>
          <w:szCs w:val="20"/>
          <w:lang w:val="ru-RU"/>
        </w:rPr>
        <w:t xml:space="preserve"> Отчет формируется с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использованием реализованной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АРМ «Плательщик» услуги «Отчет об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итогах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сфере игорного бизнеса».</w:t>
      </w:r>
    </w:p>
    <w:p w14:paraId="67674C5B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 w:rsidRPr="0048195C">
        <w:rPr>
          <w:sz w:val="20"/>
          <w:szCs w:val="20"/>
          <w:vertAlign w:val="superscript"/>
          <w:lang w:val="ru-RU"/>
        </w:rPr>
        <w:lastRenderedPageBreak/>
        <w:t>2</w:t>
      </w:r>
      <w:r w:rsidRPr="0048195C">
        <w:rPr>
          <w:sz w:val="20"/>
          <w:szCs w:val="20"/>
          <w:lang w:val="ru-RU"/>
        </w:rPr>
        <w:t xml:space="preserve"> Количество объектов налогообложения налогом на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игорный бизнес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среднем за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период с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начала года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отчетный период включительно, определяемое на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основании частей первой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второй пункта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3 статьи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357 Налогового кодекса Республики Беларусь.</w:t>
      </w:r>
    </w:p>
    <w:p w14:paraId="00E930E1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 w:rsidRPr="0048195C">
        <w:rPr>
          <w:sz w:val="20"/>
          <w:szCs w:val="20"/>
          <w:vertAlign w:val="superscript"/>
          <w:lang w:val="ru-RU"/>
        </w:rPr>
        <w:t>3</w:t>
      </w:r>
      <w:r w:rsidRPr="0048195C">
        <w:rPr>
          <w:sz w:val="20"/>
          <w:szCs w:val="20"/>
          <w:lang w:val="ru-RU"/>
        </w:rPr>
        <w:t xml:space="preserve"> Данные субсчета бухгалтерского учета 90</w:t>
      </w:r>
      <w:r w:rsidRPr="0048195C">
        <w:rPr>
          <w:sz w:val="20"/>
          <w:szCs w:val="20"/>
          <w:vertAlign w:val="superscript"/>
          <w:lang w:val="ru-RU"/>
        </w:rPr>
        <w:t>1</w:t>
      </w:r>
      <w:r w:rsidRPr="0048195C">
        <w:rPr>
          <w:sz w:val="20"/>
          <w:szCs w:val="20"/>
          <w:lang w:val="ru-RU"/>
        </w:rPr>
        <w:t xml:space="preserve"> «Выручка от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реализации продукции, товаров, работ, услуг» к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счету 90 «Доходы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расходы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деятельности»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(или) данные иных субсчетов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(или) аналитического учета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счету 90 «Доходы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расходы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деятельности», установленных учетной политикой юридического лица, 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выручке от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реализации всех видов продукции, товаров, работ, услуг.</w:t>
      </w:r>
    </w:p>
    <w:p w14:paraId="0D04D7D8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 w:rsidRPr="0048195C">
        <w:rPr>
          <w:sz w:val="20"/>
          <w:szCs w:val="20"/>
          <w:vertAlign w:val="superscript"/>
          <w:lang w:val="ru-RU"/>
        </w:rPr>
        <w:t>4</w:t>
      </w:r>
      <w:r w:rsidRPr="0048195C">
        <w:rPr>
          <w:sz w:val="20"/>
          <w:szCs w:val="20"/>
          <w:lang w:val="ru-RU"/>
        </w:rPr>
        <w:t xml:space="preserve"> Данные аналитического учета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счету 90 «Доходы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расходы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деятельности» или данные первичных учетных (расчетных) документов, книг кассира, иных документов, ведение которых предусмотрено нормативными правовыми актами, регулирующими деятельность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сфере игорного бизнеса, 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принятых денежных средствах (электронных деньгах) для участия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азартных играх (по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разрешенным видам деятельности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сфере игорного бизнеса), 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также 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доходах, полученных за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предоставление иным лицам возможности организации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(или) проведения азартных игр посредством использования технических решений виртуального игорного заведения (по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деятельности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сфере игорного бизнеса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содержанию виртуального игорного заведения).</w:t>
      </w:r>
    </w:p>
    <w:p w14:paraId="0DD9447A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 w:rsidRPr="0048195C">
        <w:rPr>
          <w:sz w:val="20"/>
          <w:szCs w:val="20"/>
          <w:vertAlign w:val="superscript"/>
          <w:lang w:val="ru-RU"/>
        </w:rPr>
        <w:t>5</w:t>
      </w:r>
      <w:r w:rsidRPr="0048195C">
        <w:rPr>
          <w:sz w:val="20"/>
          <w:szCs w:val="20"/>
          <w:lang w:val="ru-RU"/>
        </w:rPr>
        <w:t xml:space="preserve"> Данные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дебету субсчетов бухгалтерского учета 90</w:t>
      </w:r>
      <w:r w:rsidRPr="0048195C">
        <w:rPr>
          <w:sz w:val="20"/>
          <w:szCs w:val="20"/>
          <w:vertAlign w:val="superscript"/>
          <w:lang w:val="ru-RU"/>
        </w:rPr>
        <w:t>2</w:t>
      </w:r>
      <w:r w:rsidRPr="0048195C">
        <w:rPr>
          <w:sz w:val="20"/>
          <w:szCs w:val="20"/>
          <w:lang w:val="ru-RU"/>
        </w:rPr>
        <w:t xml:space="preserve"> «Налог на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добавленную стоимость, исчисляемый из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выручки от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реализации продукции, товаров, работ, услуг», 90</w:t>
      </w:r>
      <w:r w:rsidRPr="0048195C">
        <w:rPr>
          <w:sz w:val="20"/>
          <w:szCs w:val="20"/>
          <w:vertAlign w:val="superscript"/>
          <w:lang w:val="ru-RU"/>
        </w:rPr>
        <w:t>3</w:t>
      </w:r>
      <w:r w:rsidRPr="0048195C">
        <w:rPr>
          <w:sz w:val="20"/>
          <w:szCs w:val="20"/>
          <w:lang w:val="ru-RU"/>
        </w:rPr>
        <w:t xml:space="preserve"> «Прочие налоги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сборы, исчисляемые из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выручки от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реализации продукции, товаров, работ, услуг» к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счету 90 «Доходы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расходы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деятельности»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(или) данные иных субсчетов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(или) аналитического учета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счету 90 «Доходы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расходы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деятельности», установленных учетной политикой юридического лица, для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отражения сумм налога на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добавленную стоимость, налогов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сборов, исчисляемых из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выручки от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реализации продукции, товаров, работ, услуг.</w:t>
      </w:r>
    </w:p>
    <w:p w14:paraId="6324B47A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 w:rsidRPr="0048195C">
        <w:rPr>
          <w:sz w:val="20"/>
          <w:szCs w:val="20"/>
          <w:vertAlign w:val="superscript"/>
          <w:lang w:val="ru-RU"/>
        </w:rPr>
        <w:t>6</w:t>
      </w:r>
      <w:r w:rsidRPr="0048195C">
        <w:rPr>
          <w:sz w:val="20"/>
          <w:szCs w:val="20"/>
          <w:lang w:val="ru-RU"/>
        </w:rPr>
        <w:t xml:space="preserve"> Данные из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журналов учета выплат, ведение которых обеспечивается специальной компьютерной кассовой системой, обеспечивающей контроль за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оборотами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сфере игорного бизнеса,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электронном виде, книг кассира, первичных учетных (расчетных) документов, иных документов 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произведенных выплатах (перечислениях, переводах) выигрышей (возвратах несыгравших ставок) участникам азартных игр.</w:t>
      </w:r>
    </w:p>
    <w:p w14:paraId="122C9EB4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 w:rsidRPr="0048195C">
        <w:rPr>
          <w:sz w:val="20"/>
          <w:szCs w:val="20"/>
          <w:vertAlign w:val="superscript"/>
          <w:lang w:val="ru-RU"/>
        </w:rPr>
        <w:t>7</w:t>
      </w:r>
      <w:r w:rsidRPr="0048195C">
        <w:rPr>
          <w:sz w:val="20"/>
          <w:szCs w:val="20"/>
          <w:lang w:val="ru-RU"/>
        </w:rPr>
        <w:t xml:space="preserve"> Данные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дебету субсчетов бухгалтерского учета 90</w:t>
      </w:r>
      <w:r w:rsidRPr="0048195C">
        <w:rPr>
          <w:sz w:val="20"/>
          <w:szCs w:val="20"/>
          <w:vertAlign w:val="superscript"/>
          <w:lang w:val="ru-RU"/>
        </w:rPr>
        <w:t>4</w:t>
      </w:r>
      <w:r w:rsidRPr="0048195C">
        <w:rPr>
          <w:sz w:val="20"/>
          <w:szCs w:val="20"/>
          <w:lang w:val="ru-RU"/>
        </w:rPr>
        <w:t xml:space="preserve"> «Себестоимость реализованной продукции, товаров, работ, услуг», 90</w:t>
      </w:r>
      <w:r w:rsidRPr="0048195C">
        <w:rPr>
          <w:sz w:val="20"/>
          <w:szCs w:val="20"/>
          <w:vertAlign w:val="superscript"/>
          <w:lang w:val="ru-RU"/>
        </w:rPr>
        <w:t>5</w:t>
      </w:r>
      <w:r w:rsidRPr="0048195C">
        <w:rPr>
          <w:sz w:val="20"/>
          <w:szCs w:val="20"/>
          <w:lang w:val="ru-RU"/>
        </w:rPr>
        <w:t xml:space="preserve"> «Управленческие расходы», 90</w:t>
      </w:r>
      <w:r w:rsidRPr="0048195C">
        <w:rPr>
          <w:sz w:val="20"/>
          <w:szCs w:val="20"/>
          <w:vertAlign w:val="superscript"/>
          <w:lang w:val="ru-RU"/>
        </w:rPr>
        <w:t>6</w:t>
      </w:r>
      <w:r w:rsidRPr="0048195C">
        <w:rPr>
          <w:sz w:val="20"/>
          <w:szCs w:val="20"/>
          <w:lang w:val="ru-RU"/>
        </w:rPr>
        <w:t xml:space="preserve"> «Расходы на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реализацию» к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счету 90 «Доходы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расходы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деятельности»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(или) данные иных субсчетов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(или) аналитического учета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счету 90 «Доходы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расходы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деятельности», установленные учетной политикой юридического лица, для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бухгалтерского учета соответствующих расходов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 юридического лица, за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исключением суммы выплаченных (перечисленных, переведенных) выигрышей (возвращенных несыгравших ставок).</w:t>
      </w:r>
    </w:p>
    <w:p w14:paraId="54D10A40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 w:rsidRPr="0048195C">
        <w:rPr>
          <w:sz w:val="20"/>
          <w:szCs w:val="20"/>
          <w:vertAlign w:val="superscript"/>
          <w:lang w:val="ru-RU"/>
        </w:rPr>
        <w:t>8</w:t>
      </w:r>
      <w:r w:rsidRPr="0048195C">
        <w:rPr>
          <w:sz w:val="20"/>
          <w:szCs w:val="20"/>
          <w:lang w:val="ru-RU"/>
        </w:rPr>
        <w:t xml:space="preserve"> Данные аналитического учета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дебету субсчетов бухгалтерского учета 90</w:t>
      </w:r>
      <w:r w:rsidRPr="0048195C">
        <w:rPr>
          <w:sz w:val="20"/>
          <w:szCs w:val="20"/>
          <w:vertAlign w:val="superscript"/>
          <w:lang w:val="ru-RU"/>
        </w:rPr>
        <w:t>4</w:t>
      </w:r>
      <w:r w:rsidRPr="0048195C">
        <w:rPr>
          <w:sz w:val="20"/>
          <w:szCs w:val="20"/>
          <w:lang w:val="ru-RU"/>
        </w:rPr>
        <w:t xml:space="preserve"> «Себестоимость реализованной продукции, товаров, работ, услуг», 90</w:t>
      </w:r>
      <w:r w:rsidRPr="0048195C">
        <w:rPr>
          <w:sz w:val="20"/>
          <w:szCs w:val="20"/>
          <w:vertAlign w:val="superscript"/>
          <w:lang w:val="ru-RU"/>
        </w:rPr>
        <w:t>5</w:t>
      </w:r>
      <w:r w:rsidRPr="0048195C">
        <w:rPr>
          <w:sz w:val="20"/>
          <w:szCs w:val="20"/>
          <w:lang w:val="ru-RU"/>
        </w:rPr>
        <w:t xml:space="preserve"> «Управленческие расходы», 90</w:t>
      </w:r>
      <w:r w:rsidRPr="0048195C">
        <w:rPr>
          <w:sz w:val="20"/>
          <w:szCs w:val="20"/>
          <w:vertAlign w:val="superscript"/>
          <w:lang w:val="ru-RU"/>
        </w:rPr>
        <w:t>6</w:t>
      </w:r>
      <w:r w:rsidRPr="0048195C">
        <w:rPr>
          <w:sz w:val="20"/>
          <w:szCs w:val="20"/>
          <w:lang w:val="ru-RU"/>
        </w:rPr>
        <w:t xml:space="preserve"> «Расходы на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реализацию» к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счету 90 «Доходы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расходы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деятельности»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(или) данные иных субсчетов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(или) аналитического учета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счету 90 «Доходы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расходы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деятельности», установленные учетной политикой юридического лица, для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бухгалтерского учета соответствующих расходов на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реализацию услуг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сфере игорного бизнеса, за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исключением суммы выплаченных (перечисленных, переведенных) выигрышей (возвращенных несыгравших ставок).</w:t>
      </w:r>
    </w:p>
    <w:p w14:paraId="72830F31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 w:rsidRPr="0048195C">
        <w:rPr>
          <w:sz w:val="20"/>
          <w:szCs w:val="20"/>
          <w:vertAlign w:val="superscript"/>
          <w:lang w:val="ru-RU"/>
        </w:rPr>
        <w:t>9</w:t>
      </w:r>
      <w:r w:rsidRPr="0048195C">
        <w:rPr>
          <w:sz w:val="20"/>
          <w:szCs w:val="20"/>
          <w:lang w:val="ru-RU"/>
        </w:rPr>
        <w:t xml:space="preserve"> Фонд заработной платы работников, занятых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сфере игорного бизнеса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пунктами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44–52 Указаний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заполнению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формах государственных статистических наблюдений статистических показателей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труду, утвержденных постановлением Национального статистического комитета Республики Беларусь от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20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января 2020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1 (за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исключением фонда оплаты труда внешних совместителей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граждан, выполнявших работу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гражданско-правовым договорам).</w:t>
      </w:r>
    </w:p>
    <w:p w14:paraId="28EAB1C1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 w:rsidRPr="0048195C">
        <w:rPr>
          <w:sz w:val="20"/>
          <w:szCs w:val="20"/>
          <w:vertAlign w:val="superscript"/>
          <w:lang w:val="ru-RU"/>
        </w:rPr>
        <w:t>10</w:t>
      </w:r>
      <w:r w:rsidRPr="0048195C">
        <w:rPr>
          <w:sz w:val="20"/>
          <w:szCs w:val="20"/>
          <w:lang w:val="ru-RU"/>
        </w:rPr>
        <w:t xml:space="preserve"> Данные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кредиту (дебету) субсчета бухгалтерского учета 90</w:t>
      </w:r>
      <w:r w:rsidRPr="0048195C">
        <w:rPr>
          <w:sz w:val="20"/>
          <w:szCs w:val="20"/>
          <w:vertAlign w:val="superscript"/>
          <w:lang w:val="ru-RU"/>
        </w:rPr>
        <w:t>11</w:t>
      </w:r>
      <w:r w:rsidRPr="0048195C">
        <w:rPr>
          <w:sz w:val="20"/>
          <w:szCs w:val="20"/>
          <w:lang w:val="ru-RU"/>
        </w:rPr>
        <w:t xml:space="preserve"> «Прибыль (убыток) от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деятельности» к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счету 90 «Доходы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расходы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деятельности»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корреспонденции со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счетом 99 «Прибыли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убытки»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данные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кредиту (дебету) субсчета бухгалтерского учета 91</w:t>
      </w:r>
      <w:r w:rsidRPr="0048195C">
        <w:rPr>
          <w:sz w:val="20"/>
          <w:szCs w:val="20"/>
          <w:vertAlign w:val="superscript"/>
          <w:lang w:val="ru-RU"/>
        </w:rPr>
        <w:t>5</w:t>
      </w:r>
      <w:r w:rsidRPr="0048195C">
        <w:rPr>
          <w:sz w:val="20"/>
          <w:szCs w:val="20"/>
          <w:lang w:val="ru-RU"/>
        </w:rPr>
        <w:t xml:space="preserve"> «Сальдо прочих доходов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расходов» к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счету 91 «Прочие доходы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расходы»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корреспонденции со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счетом 99 «Прибыли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убытки».</w:t>
      </w:r>
    </w:p>
    <w:p w14:paraId="4EB202C4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 w:rsidRPr="0048195C">
        <w:rPr>
          <w:sz w:val="20"/>
          <w:szCs w:val="20"/>
          <w:vertAlign w:val="superscript"/>
          <w:lang w:val="ru-RU"/>
        </w:rPr>
        <w:t>11</w:t>
      </w:r>
      <w:r w:rsidRPr="0048195C">
        <w:rPr>
          <w:sz w:val="20"/>
          <w:szCs w:val="20"/>
          <w:lang w:val="ru-RU"/>
        </w:rPr>
        <w:t xml:space="preserve"> Данные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кредиту (дебету) субсчета бухгалтерского учета 90</w:t>
      </w:r>
      <w:r w:rsidRPr="0048195C">
        <w:rPr>
          <w:sz w:val="20"/>
          <w:szCs w:val="20"/>
          <w:vertAlign w:val="superscript"/>
          <w:lang w:val="ru-RU"/>
        </w:rPr>
        <w:t>11</w:t>
      </w:r>
      <w:r w:rsidRPr="0048195C">
        <w:rPr>
          <w:sz w:val="20"/>
          <w:szCs w:val="20"/>
          <w:lang w:val="ru-RU"/>
        </w:rPr>
        <w:t xml:space="preserve"> «Прибыль (убыток) от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деятельности» к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счету 90 «Доходы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расходы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деятельности»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корреспонденции со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счетом 99 «Прибыли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убытки»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(или) данные иных субсчетов, установленные учетной политикой юридического лица, 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прибыли (убытке) от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текущей деятельности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сфере игорного бизнеса.</w:t>
      </w:r>
    </w:p>
    <w:p w14:paraId="1E210840" w14:textId="77777777" w:rsidR="00F2033C" w:rsidRPr="0048195C" w:rsidRDefault="00000000">
      <w:pPr>
        <w:spacing w:after="240"/>
        <w:ind w:firstLine="566"/>
        <w:jc w:val="both"/>
        <w:rPr>
          <w:lang w:val="ru-RU"/>
        </w:rPr>
      </w:pPr>
      <w:r w:rsidRPr="0048195C">
        <w:rPr>
          <w:sz w:val="20"/>
          <w:szCs w:val="20"/>
          <w:vertAlign w:val="superscript"/>
          <w:lang w:val="ru-RU"/>
        </w:rPr>
        <w:lastRenderedPageBreak/>
        <w:t>12</w:t>
      </w:r>
      <w:r w:rsidRPr="0048195C">
        <w:rPr>
          <w:sz w:val="20"/>
          <w:szCs w:val="20"/>
          <w:lang w:val="ru-RU"/>
        </w:rPr>
        <w:t xml:space="preserve"> Среднесписочная численность работников (без внешних совместителей 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граждан, выполнявших работу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гражданско-правовым договорам)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пунктами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3–10 Указаний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заполнению в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формах государственных статистических наблюдений статистических показателей по</w:t>
      </w:r>
      <w:r>
        <w:rPr>
          <w:sz w:val="20"/>
          <w:szCs w:val="20"/>
        </w:rPr>
        <w:t> </w:t>
      </w:r>
      <w:r w:rsidRPr="0048195C">
        <w:rPr>
          <w:sz w:val="20"/>
          <w:szCs w:val="20"/>
          <w:lang w:val="ru-RU"/>
        </w:rPr>
        <w:t>труду.</w:t>
      </w:r>
    </w:p>
    <w:p w14:paraId="74463A11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452E8E91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6203C33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3DB23D1B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79DF00B5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7B2B2007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4078AB8C" w14:textId="77777777" w:rsidR="00F2033C" w:rsidRPr="0048195C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F2033C" w:rsidRPr="0048195C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3C"/>
    <w:rsid w:val="0048195C"/>
    <w:rsid w:val="00F2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C9AC"/>
  <w15:docId w15:val="{6B756C46-A16A-43CD-80E8-FCBF0C78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7097</Characters>
  <DocSecurity>0</DocSecurity>
  <Lines>59</Lines>
  <Paragraphs>16</Paragraphs>
  <ScaleCrop>false</ScaleCrop>
  <Manager/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2026-03-11T07:06:00Z</dcterms:created>
  <dcterms:modified xsi:type="dcterms:W3CDTF">2026-03-11T07:06:00Z</dcterms:modified>
  <cp:category/>
</cp:coreProperties>
</file>